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103A" w14:textId="6204CD4C" w:rsidR="00024F56" w:rsidRDefault="008A4D1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A4D10">
        <w:rPr>
          <w:rFonts w:ascii="Times New Roman" w:hAnsi="Times New Roman" w:cs="Times New Roman"/>
          <w:sz w:val="28"/>
          <w:szCs w:val="28"/>
          <w:u w:val="single"/>
        </w:rPr>
        <w:t>O opakowaniach i materiałach, z których są wykonane.</w:t>
      </w:r>
    </w:p>
    <w:p w14:paraId="7D98C141" w14:textId="2CA882DE" w:rsidR="008A4D10" w:rsidRPr="000C65DE" w:rsidRDefault="000C65DE" w:rsidP="000C65D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e -podręczniki</w:t>
        </w:r>
      </w:hyperlink>
    </w:p>
    <w:p w14:paraId="54CDE811" w14:textId="7C427F9E" w:rsidR="008A4D10" w:rsidRPr="000C65DE" w:rsidRDefault="000C65DE" w:rsidP="000C65D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A4D10" w:rsidRPr="000C65DE">
        <w:rPr>
          <w:rFonts w:ascii="Times New Roman" w:hAnsi="Times New Roman" w:cs="Times New Roman"/>
          <w:sz w:val="28"/>
          <w:szCs w:val="28"/>
        </w:rPr>
        <w:t>otatk</w:t>
      </w:r>
      <w:r>
        <w:rPr>
          <w:rFonts w:ascii="Times New Roman" w:hAnsi="Times New Roman" w:cs="Times New Roman"/>
          <w:sz w:val="28"/>
          <w:szCs w:val="28"/>
        </w:rPr>
        <w:t>a</w:t>
      </w:r>
      <w:r w:rsidR="008A4D10" w:rsidRPr="000C65DE">
        <w:rPr>
          <w:rFonts w:ascii="Times New Roman" w:hAnsi="Times New Roman" w:cs="Times New Roman"/>
          <w:sz w:val="28"/>
          <w:szCs w:val="28"/>
        </w:rPr>
        <w:t xml:space="preserve"> wg punktów:</w:t>
      </w:r>
    </w:p>
    <w:p w14:paraId="3C12AAF1" w14:textId="7D177BD3" w:rsidR="008A4D10" w:rsidRPr="008A4D10" w:rsidRDefault="008A4D10" w:rsidP="008A4D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D10">
        <w:rPr>
          <w:rFonts w:ascii="Times New Roman" w:hAnsi="Times New Roman" w:cs="Times New Roman"/>
          <w:sz w:val="28"/>
          <w:szCs w:val="28"/>
        </w:rPr>
        <w:t>Jak dzielimy opakowania ze względu na rodzaj użytego materiału.</w:t>
      </w:r>
    </w:p>
    <w:p w14:paraId="08F64CF6" w14:textId="7E4BD819" w:rsidR="008A4D10" w:rsidRPr="008A4D10" w:rsidRDefault="008A4D10" w:rsidP="008A4D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D10">
        <w:rPr>
          <w:rFonts w:ascii="Times New Roman" w:hAnsi="Times New Roman" w:cs="Times New Roman"/>
          <w:sz w:val="28"/>
          <w:szCs w:val="28"/>
        </w:rPr>
        <w:t>Podać główne wady i zalety opakowań różnego rodzaju.</w:t>
      </w:r>
    </w:p>
    <w:p w14:paraId="2DDE5DDF" w14:textId="6B61E4B4" w:rsidR="008A4D10" w:rsidRDefault="008A4D10" w:rsidP="008A4D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4D10">
        <w:rPr>
          <w:rFonts w:ascii="Times New Roman" w:hAnsi="Times New Roman" w:cs="Times New Roman"/>
          <w:sz w:val="28"/>
          <w:szCs w:val="28"/>
        </w:rPr>
        <w:t>Podać przykłady tworzyw polimeryzacyjnych i polikondensacyjnych.</w:t>
      </w:r>
    </w:p>
    <w:p w14:paraId="258FB551" w14:textId="2CA87005" w:rsidR="000C65DE" w:rsidRPr="000C65DE" w:rsidRDefault="000C65DE" w:rsidP="000C65D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multimedialnych.</w:t>
      </w:r>
      <w:bookmarkStart w:id="0" w:name="_GoBack"/>
      <w:bookmarkEnd w:id="0"/>
    </w:p>
    <w:sectPr w:rsidR="000C65DE" w:rsidRPr="000C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6D1C"/>
    <w:multiLevelType w:val="hybridMultilevel"/>
    <w:tmpl w:val="3C4C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6666"/>
    <w:multiLevelType w:val="hybridMultilevel"/>
    <w:tmpl w:val="3FCE4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1B"/>
    <w:rsid w:val="00024F56"/>
    <w:rsid w:val="000C65DE"/>
    <w:rsid w:val="0036551B"/>
    <w:rsid w:val="004954F3"/>
    <w:rsid w:val="008A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AFDC"/>
  <w15:chartTrackingRefBased/>
  <w15:docId w15:val="{7F03AC45-EA4D-4885-AB29-B300D0C8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4D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trendy-rozwojowe-w-produkcji-opakowan/DyzIAuJ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2020-04-06T21:09:00Z</dcterms:created>
  <dcterms:modified xsi:type="dcterms:W3CDTF">2020-04-06T21:09:00Z</dcterms:modified>
</cp:coreProperties>
</file>