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05A23" w14:textId="07D3086F" w:rsidR="00D026D7" w:rsidRPr="00CC089A" w:rsidRDefault="00D026D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D026D7">
        <w:rPr>
          <w:rFonts w:ascii="Times New Roman" w:hAnsi="Times New Roman" w:cs="Times New Roman"/>
          <w:sz w:val="28"/>
          <w:szCs w:val="28"/>
          <w:u w:val="single"/>
        </w:rPr>
        <w:t>Rysowanie figur symetrycznych względem punktu.</w:t>
      </w:r>
    </w:p>
    <w:p w14:paraId="5FF90CD0" w14:textId="4E4515FE" w:rsidR="00D026D7" w:rsidRPr="00CC089A" w:rsidRDefault="00CC089A" w:rsidP="00CC08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89A">
        <w:rPr>
          <w:rFonts w:ascii="Times New Roman" w:hAnsi="Times New Roman" w:cs="Times New Roman"/>
          <w:sz w:val="28"/>
          <w:szCs w:val="28"/>
        </w:rPr>
        <w:t xml:space="preserve">Wyjaśnienie, jak rysować figury symetryczne względem punktu: </w:t>
      </w:r>
      <w:hyperlink r:id="rId5" w:history="1">
        <w:r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20B4F7B7" w14:textId="36148363" w:rsidR="00DB6F03" w:rsidRDefault="00CC089A" w:rsidP="00CC08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Samodzielna konstrukcja punktu, odcinka, trójkąta, trapezu symetrycznych do danej figury względem wyznaczonego punktu.</w:t>
      </w:r>
    </w:p>
    <w:p w14:paraId="4C0142D5" w14:textId="6244C557" w:rsidR="00CC089A" w:rsidRPr="00CC089A" w:rsidRDefault="00CC089A" w:rsidP="00CC089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przekazywane uczniom mailem.</w:t>
      </w:r>
    </w:p>
    <w:sectPr w:rsidR="00CC089A" w:rsidRPr="00CC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26960"/>
    <w:multiLevelType w:val="hybridMultilevel"/>
    <w:tmpl w:val="A562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89"/>
    <w:rsid w:val="00614388"/>
    <w:rsid w:val="00862D89"/>
    <w:rsid w:val="00CC089A"/>
    <w:rsid w:val="00D026D7"/>
    <w:rsid w:val="00DB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C57B"/>
  <w15:chartTrackingRefBased/>
  <w15:docId w15:val="{1A365B86-46F4-4A9C-A185-EA713D9A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026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Zvk24sVW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2020-04-28T19:59:00Z</dcterms:created>
  <dcterms:modified xsi:type="dcterms:W3CDTF">2020-04-28T19:59:00Z</dcterms:modified>
</cp:coreProperties>
</file>